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SIA “Dundagas veselības centrs”</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Reģ. Nr.51203036041</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bCs/>
          <w:sz w:val="24"/>
          <w:szCs w:val="24"/>
        </w:rPr>
        <w:t>Finanšu rādītāji no 2017.g.- 2021.g</w:t>
      </w:r>
      <w:r>
        <w:rPr>
          <w:rFonts w:cs="Times New Roman" w:ascii="Times New Roman" w:hAnsi="Times New Roman"/>
          <w:sz w:val="24"/>
          <w:szCs w:val="24"/>
        </w:rPr>
        <w:t>.</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u w:val="single"/>
        </w:rPr>
      </w:pPr>
      <w:r>
        <w:rPr>
          <w:rFonts w:cs="Times New Roman" w:ascii="Times New Roman" w:hAnsi="Times New Roman"/>
          <w:i/>
          <w:iCs/>
          <w:sz w:val="24"/>
          <w:szCs w:val="24"/>
          <w:u w:val="single"/>
        </w:rPr>
        <w:t>Kopējais likviditātes koeficients</w:t>
      </w:r>
    </w:p>
    <w:p>
      <w:pPr>
        <w:pStyle w:val="Normal"/>
        <w:spacing w:before="0" w:after="0"/>
        <w:rPr>
          <w:rFonts w:ascii="Times New Roman" w:hAnsi="Times New Roman" w:cs="Times New Roman"/>
          <w:i/>
          <w:i/>
          <w:iCs/>
          <w:sz w:val="24"/>
          <w:szCs w:val="24"/>
          <w:u w:val="single"/>
        </w:rPr>
      </w:pPr>
      <w:r>
        <w:rPr>
          <w:rFonts w:cs="Times New Roman" w:ascii="Times New Roman" w:hAnsi="Times New Roman"/>
          <w:i/>
          <w:iCs/>
          <w:sz w:val="24"/>
          <w:szCs w:val="24"/>
          <w:u w:val="single"/>
        </w:rPr>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Apgrozāmie līdzekļi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5543</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7337</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12327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12104</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18477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Īstermiņa saistības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34265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43830</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47497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34299</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25127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Kopējās likviditātes 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0,16</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0,17</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0,26</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0,35</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0,74</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ind w:firstLine="720"/>
        <w:rPr/>
      </w:pPr>
      <w:r>
        <w:rPr/>
        <w:t>Aplūkojot  datus var secināt , ka likviditātes koeficients ar katru gadu pieaug, tas tādēļ, ka uzņēmumam ir pieauguši naudas līdzekļi, bet ne pietiekošā daudzumā. Uzņēmumam ir jāturpina izstrādāt stratēģiju, lai palielinātu naudas līdzekļus. Ir nepieciešamas piesaistīt vairāk klientu un samazināt izdevumus.</w:t>
      </w:r>
    </w:p>
    <w:p>
      <w:pPr>
        <w:pStyle w:val="Normal"/>
        <w:rPr>
          <w:rFonts w:ascii="Times New Roman" w:hAnsi="Times New Roman" w:cs="Times New Roman"/>
          <w:i/>
          <w:i/>
          <w:iCs/>
          <w:u w:val="single"/>
        </w:rPr>
      </w:pPr>
      <w:r>
        <w:rPr>
          <w:rFonts w:cs="Times New Roman" w:ascii="Times New Roman" w:hAnsi="Times New Roman"/>
          <w:i/>
          <w:iCs/>
          <w:u w:val="single"/>
        </w:rPr>
        <w:t>Likviditātes starpseguma koeficients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Apgrozāmie līdzekļi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5543</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7337</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12327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12104</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18477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Krājumi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2119</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2561</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2986</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4853</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5056</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Nākamo periodu izmaksas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223</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108</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212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28</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0</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Īstermiņa saistības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34265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43830</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47497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34299</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25127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Likviditātes  seguma 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0,09</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0,11</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0,19</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0,21</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0,53</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rPr>
        <w:t>Apskatot tabulā dotos datus, rādītāji pakāpeniski palielinās, kas ir labi. Tomēr ja ņemam vērā ka koeficientam ir jābūt vismaz “1”cipara robežās, tad uzņēmuma rādītāji nav pārāk pozitīvi, kas liecina par risku īstermiņa saistību nenosegšanas un tas, savukārt, apliecina uzņēmuma maksāt nespēju.</w:t>
      </w:r>
    </w:p>
    <w:p>
      <w:pPr>
        <w:pStyle w:val="Normal"/>
        <w:rPr>
          <w:rFonts w:ascii="Times New Roman" w:hAnsi="Times New Roman" w:cs="Times New Roman"/>
          <w:i/>
          <w:i/>
          <w:iCs/>
          <w:u w:val="single"/>
        </w:rPr>
      </w:pPr>
      <w:r>
        <w:rPr>
          <w:rFonts w:cs="Times New Roman" w:ascii="Times New Roman" w:hAnsi="Times New Roman"/>
          <w:i/>
          <w:iCs/>
          <w:u w:val="single"/>
        </w:rPr>
        <w:t>Absolūtās likviditātes koeficients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Naudas līdzekļi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402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189</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1032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3518</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4093</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Īstermiņa saistības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34265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43830</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47497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34299</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25127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Absolūtās likviditātes   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0,01</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0,004</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0,02</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0,10</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0,16</w:t>
            </w:r>
          </w:p>
        </w:tc>
      </w:tr>
    </w:tbl>
    <w:p>
      <w:pPr>
        <w:pStyle w:val="Normal"/>
        <w:rPr/>
      </w:pPr>
      <w:r>
        <w:rPr/>
      </w:r>
    </w:p>
    <w:p>
      <w:pPr>
        <w:pStyle w:val="Normal"/>
        <w:rPr/>
      </w:pPr>
      <w:r>
        <w:rPr/>
        <w:t>Tabulā var redzēt, ka absolūtās likviditātes koeficients ir zem 0,3, tas tādēļ, ka uzņēmumam īstermiņa saistības pārsniedz esošos naudas līdzekļus. Kritiskākie gadi ir no 2017.-2019.gadam, kad šis koeficients ir būtiski zems. No 2020.gadu nedaudz situācija ir uzlabojusies, bet vienalga koeficients ir zem 0,3 robežas, tas tādēļ ka uzņēmums izvēlas savas īstermiņa saistības segt pakāpeniski.</w:t>
      </w:r>
    </w:p>
    <w:p>
      <w:pPr>
        <w:pStyle w:val="Normal"/>
        <w:rPr>
          <w:i/>
          <w:i/>
          <w:iCs/>
          <w:u w:val="single"/>
        </w:rPr>
      </w:pPr>
      <w:r>
        <w:rPr>
          <w:i/>
          <w:iCs/>
          <w:u w:val="single"/>
        </w:rPr>
        <w:t>Darba kapitāls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Apgrozāmie līdzekļi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5543</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7337</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12327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12104</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18477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Īstermiņa saistības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34265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43830</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47497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34299</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25127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Darba kapitāls EUR</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-28722</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-36493</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-35170</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-22195</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-6650</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pPr>
      <w:r>
        <w:rPr/>
        <w:t>Pēc esošajiem datiem varam redzēt, ka uzņēmuma darba kapitāls ir palielinājies salīdzinot ar 2019.gadu, tas ir ar mīnus zīmi visus gadus, tas nozīmē, ka uzņēmuma īstermiņa saistības ir lielākas par apgrozāmajiem līdzekļiem. Pārāk mazs brīvo apgrozāmo līdzekļu apjoms liecina par uzņēmuma nespēju kārtot īstermiņa saistības.</w:t>
      </w:r>
    </w:p>
    <w:p>
      <w:pPr>
        <w:pStyle w:val="Normal"/>
        <w:rPr>
          <w:i/>
          <w:i/>
          <w:iCs/>
          <w:u w:val="single"/>
        </w:rPr>
      </w:pPr>
      <w:r>
        <w:rPr>
          <w:i/>
          <w:iCs/>
          <w:u w:val="single"/>
        </w:rPr>
        <w:t>Finansiālais atkarības koeficients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Saistību kopsumma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34265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43830</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47497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34299</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25127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Pasīvu kopsumma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35195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36908</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36918</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37502</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39161</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Finansiālais atkarības 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0,97</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1,19</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1,28</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0,91</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0,64</w:t>
            </w:r>
            <w:bookmarkStart w:id="0" w:name="_Hlk106185671"/>
            <w:bookmarkEnd w:id="0"/>
          </w:p>
        </w:tc>
      </w:tr>
    </w:tbl>
    <w:p>
      <w:pPr>
        <w:pStyle w:val="Normal"/>
        <w:rPr/>
      </w:pPr>
      <w:r>
        <w:rPr/>
      </w:r>
    </w:p>
    <w:p>
      <w:pPr>
        <w:pStyle w:val="Normal"/>
        <w:rPr/>
      </w:pPr>
      <w:r>
        <w:rPr/>
        <w:t>Šis koeficients ir virs 0,5 robežas- tas liecina par to, ka uzņēmums ir ļoti atkarīgs no ārējām saistībām, 2020.gadā šis koeficients ir zemākais .</w:t>
      </w:r>
    </w:p>
    <w:p>
      <w:pPr>
        <w:pStyle w:val="Normal"/>
        <w:rPr>
          <w:i/>
          <w:i/>
          <w:iCs/>
          <w:u w:val="single"/>
        </w:rPr>
      </w:pPr>
      <w:r>
        <w:rPr>
          <w:i/>
          <w:iCs/>
          <w:u w:val="single"/>
        </w:rPr>
        <w:t>Finansiālais neatkarības koeficients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Pašu kapitāls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930</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-6922</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-10579</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3203</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14034</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Pasīvu kopsumma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35195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36908</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36918</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37502</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39161</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Finansiālais neatkarības 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0,03</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-0,19</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-0,29</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0,09</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0,36</w:t>
            </w:r>
          </w:p>
        </w:tc>
      </w:tr>
    </w:tbl>
    <w:p>
      <w:pPr>
        <w:pStyle w:val="Normal"/>
        <w:rPr/>
      </w:pPr>
      <w:r>
        <w:rPr/>
        <w:t>Aprēķinot finansiālās neatkarības koeficientu, var secināt, ka uzņēmuma rādītāji ir zem 0,6 cipara robežas, tas liecina, ka uzņēmums ir finansiāli atkarīgs no kredītiestādēm. Uzņēmumam ir jāpiesaista un jāizmanto papildus finanšu resursus.</w:t>
      </w:r>
    </w:p>
    <w:p>
      <w:pPr>
        <w:pStyle w:val="Normal"/>
        <w:rPr>
          <w:i/>
          <w:i/>
          <w:iCs/>
          <w:u w:val="single"/>
        </w:rPr>
      </w:pPr>
      <w:r>
        <w:rPr>
          <w:i/>
          <w:iCs/>
          <w:u w:val="single"/>
        </w:rPr>
        <w:t>Finansiālais autonomijas koeficients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Saistību kopsumma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34265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43830</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47497</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39299</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25127</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Pašu kapitāls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930</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-6922</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-10579</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3203</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14034</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Finanšu autonomijas 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36,84</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-6,33</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-4,49</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10,71</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1,79</w:t>
            </w:r>
          </w:p>
        </w:tc>
      </w:tr>
    </w:tbl>
    <w:p>
      <w:pPr>
        <w:pStyle w:val="Normal"/>
        <w:rPr/>
      </w:pPr>
      <w:r>
        <w:rPr/>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t>Pamatkapitāls attiecībā pret pašu kapitālu</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Pamatkapitāls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50592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50592</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50592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50592</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50592</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Pašu kapitāls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930</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-6922</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-10579</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3203</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14034</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lv-LV" w:eastAsia="en-US" w:bidi="ar-SA"/>
              </w:rPr>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lv-LV" w:eastAsia="en-US" w:bidi="ar-SA"/>
              </w:rPr>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54,40</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-7,31</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-4,78</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15,80</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3,68</w:t>
            </w:r>
            <w:bookmarkStart w:id="1" w:name="_Hlk106186636"/>
            <w:bookmarkEnd w:id="1"/>
          </w:p>
        </w:tc>
      </w:tr>
    </w:tbl>
    <w:p>
      <w:pPr>
        <w:pStyle w:val="Normal"/>
        <w:rPr/>
      </w:pPr>
      <w:r>
        <w:rPr/>
      </w:r>
    </w:p>
    <w:p>
      <w:pPr>
        <w:pStyle w:val="Normal"/>
        <w:rPr/>
      </w:pPr>
      <w:r>
        <w:rPr/>
        <w:t>Salīdzinot visus gadus var secināt, ka uzņēmuma pamatkapitāla attiecības pret pašu kapitālu katru gadu ir mainīgs.</w:t>
      </w:r>
    </w:p>
    <w:p>
      <w:pPr>
        <w:pStyle w:val="Normal"/>
        <w:rPr>
          <w:i/>
          <w:i/>
          <w:iCs/>
          <w:u w:val="single"/>
        </w:rPr>
      </w:pPr>
      <w:r>
        <w:rPr>
          <w:i/>
          <w:iCs/>
          <w:u w:val="single"/>
        </w:rPr>
        <w:t>Pamatlīdzekļu aprites koeficients</w:t>
      </w:r>
    </w:p>
    <w:tbl>
      <w:tblPr>
        <w:tblStyle w:val="Reatabula"/>
        <w:tblW w:w="8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0"/>
        <w:gridCol w:w="2605"/>
        <w:gridCol w:w="992"/>
        <w:gridCol w:w="993"/>
        <w:gridCol w:w="991"/>
        <w:gridCol w:w="993"/>
        <w:gridCol w:w="1017"/>
      </w:tblGrid>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Nr.</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Nosaukums</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2017.g.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2018.g.</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2019.g.</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2020.g.</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2021.g.</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NETO apgrozījums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183835</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202713</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206982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193763</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213375</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Pamatlīdzekļi Bilancē EUR</w:t>
            </w:r>
          </w:p>
        </w:tc>
        <w:tc>
          <w:tcPr>
            <w:tcW w:w="9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29652</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29571</w:t>
            </w:r>
          </w:p>
        </w:tc>
        <w:tc>
          <w:tcPr>
            <w:tcW w:w="99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24591</w:t>
            </w:r>
          </w:p>
        </w:tc>
        <w:tc>
          <w:tcPr>
            <w:tcW w:w="99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25257</w:t>
            </w:r>
          </w:p>
        </w:tc>
        <w:tc>
          <w:tcPr>
            <w:tcW w:w="1017"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20684</w:t>
            </w:r>
          </w:p>
        </w:tc>
      </w:tr>
      <w:tr>
        <w:trPr/>
        <w:tc>
          <w:tcPr>
            <w:tcW w:w="650"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lv-LV" w:eastAsia="en-US" w:bidi="ar-SA"/>
              </w:rPr>
            </w:r>
          </w:p>
        </w:tc>
        <w:tc>
          <w:tcPr>
            <w:tcW w:w="260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Koeficients</w:t>
            </w:r>
          </w:p>
        </w:tc>
        <w:tc>
          <w:tcPr>
            <w:tcW w:w="992"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6,2</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6,9</w:t>
            </w:r>
          </w:p>
        </w:tc>
        <w:tc>
          <w:tcPr>
            <w:tcW w:w="991"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8,42</w:t>
            </w:r>
          </w:p>
        </w:tc>
        <w:tc>
          <w:tcPr>
            <w:tcW w:w="993"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7,67</w:t>
            </w:r>
          </w:p>
        </w:tc>
        <w:tc>
          <w:tcPr>
            <w:tcW w:w="1017" w:type="dxa"/>
            <w:tcBorders/>
          </w:tcPr>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b/>
                <w:bCs/>
                <w:kern w:val="0"/>
                <w:sz w:val="24"/>
                <w:szCs w:val="24"/>
                <w:lang w:val="lv-LV" w:eastAsia="en-US" w:bidi="ar-SA"/>
              </w:rPr>
              <w:t>10,32</w:t>
            </w:r>
          </w:p>
        </w:tc>
      </w:tr>
    </w:tbl>
    <w:p>
      <w:pPr>
        <w:pStyle w:val="Normal"/>
        <w:rPr/>
      </w:pPr>
      <w:r>
        <w:rPr/>
      </w:r>
    </w:p>
    <w:p>
      <w:pPr>
        <w:pStyle w:val="Normal"/>
        <w:widowControl/>
        <w:bidi w:val="0"/>
        <w:spacing w:lineRule="auto" w:line="259" w:before="0" w:after="160"/>
        <w:jc w:val="left"/>
        <w:rPr/>
      </w:pPr>
      <w:r>
        <w:rPr/>
        <w:t>Pēc tabulas rezultātiem varam redzēt, ka uzņēmuma Neto apgrozījums pazeminājies ir 2020.gadā. To ir ietekmējusi COVID -19 vīrus infekcija sakarā ar dažādiem ierobežojumiem.</w:t>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f5d1f"/>
    <w:rPr>
      <w:sz w:val="16"/>
      <w:szCs w:val="16"/>
    </w:rPr>
  </w:style>
  <w:style w:type="character" w:styleId="KomentratekstsRakstz" w:customStyle="1">
    <w:name w:val="Komentāra teksts Rakstz."/>
    <w:basedOn w:val="DefaultParagraphFont"/>
    <w:link w:val="Komentrateksts"/>
    <w:uiPriority w:val="99"/>
    <w:semiHidden/>
    <w:qFormat/>
    <w:rsid w:val="00ff5d1f"/>
    <w:rPr>
      <w:sz w:val="20"/>
      <w:szCs w:val="20"/>
    </w:rPr>
  </w:style>
  <w:style w:type="character" w:styleId="KomentratmaRakstz" w:customStyle="1">
    <w:name w:val="Komentāra tēma Rakstz."/>
    <w:basedOn w:val="KomentratekstsRakstz"/>
    <w:link w:val="Komentratma"/>
    <w:uiPriority w:val="99"/>
    <w:semiHidden/>
    <w:qFormat/>
    <w:rsid w:val="00ff5d1f"/>
    <w:rPr>
      <w:b/>
      <w:bC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nnotationtext">
    <w:name w:val="annotation text"/>
    <w:basedOn w:val="Normal"/>
    <w:link w:val="KomentratekstsRakstz"/>
    <w:uiPriority w:val="99"/>
    <w:semiHidden/>
    <w:unhideWhenUsed/>
    <w:qFormat/>
    <w:rsid w:val="00ff5d1f"/>
    <w:pPr>
      <w:spacing w:lineRule="auto" w:line="240"/>
    </w:pPr>
    <w:rPr>
      <w:sz w:val="20"/>
      <w:szCs w:val="20"/>
    </w:rPr>
  </w:style>
  <w:style w:type="paragraph" w:styleId="Annotationsubject">
    <w:name w:val="annotation subject"/>
    <w:basedOn w:val="Annotationtext"/>
    <w:next w:val="Annotationtext"/>
    <w:link w:val="KomentratmaRakstz"/>
    <w:uiPriority w:val="99"/>
    <w:semiHidden/>
    <w:unhideWhenUsed/>
    <w:qFormat/>
    <w:rsid w:val="00ff5d1f"/>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0712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LibreOffice/7.2.2.2$Linux_X86_64 LibreOffice_project/02b2acce88a210515b4a5bb2e46cbfb63fe97d56</Application>
  <AppVersion>15.0000</AppVersion>
  <Pages>4</Pages>
  <Words>630</Words>
  <Characters>3806</Characters>
  <CharactersWithSpaces>4157</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2022-06-15T06:59:00Z</dcterms:created>
  <dc:creator>Agita Vagenmeistere</dc:creator>
  <dc:description/>
  <dc:language>lv-LV</dc:language>
  <cp:lastModifiedBy>Agita Vagenmeistere</cp:lastModifiedBy>
  <dcterms:modified xsi:type="dcterms:W3CDTF">2022-06-15T09:03:00Z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