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398B" w14:textId="7586EC45" w:rsidR="00BB75D2" w:rsidRDefault="00BB75D2" w:rsidP="0091035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0E8B28" w14:textId="77777777" w:rsidR="00786CED" w:rsidRPr="00012D1A" w:rsidRDefault="00786CED" w:rsidP="0091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2D1A">
        <w:rPr>
          <w:rFonts w:ascii="Times New Roman" w:hAnsi="Times New Roman" w:cs="Times New Roman"/>
          <w:b/>
          <w:sz w:val="28"/>
        </w:rPr>
        <w:t>Informācija par izmaiņām sadzīves atkritumu savākšanas tarifā</w:t>
      </w:r>
    </w:p>
    <w:p w14:paraId="05FD62FD" w14:textId="77777777" w:rsidR="00786CED" w:rsidRDefault="00786CED" w:rsidP="0091035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3BD2A69" w14:textId="2DC16A2C" w:rsidR="00ED72B5" w:rsidRPr="00ED72B5" w:rsidRDefault="00786CED" w:rsidP="00ED72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Sakarā ar Dabas resursu nodokļa likmes izmaiņām (no 35,00 EUR/t uz 43,00 EUR/t), </w:t>
      </w:r>
      <w:r w:rsidR="0091035C">
        <w:rPr>
          <w:rFonts w:ascii="Times New Roman" w:hAnsi="Times New Roman" w:cs="Times New Roman"/>
          <w:b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2019.gada 1.</w:t>
      </w:r>
      <w:r w:rsidR="00253A6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janvār</w:t>
      </w:r>
      <w:r w:rsidR="0091035C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tiks mainīts SIA “Atkritumu apsaimniekošanas sabiedrība “Piejūra””</w:t>
      </w:r>
      <w:r w:rsidR="00A25D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atkritumu savākšanas tarifs</w:t>
      </w:r>
      <w:r w:rsidR="00176841">
        <w:rPr>
          <w:rFonts w:ascii="Times New Roman" w:hAnsi="Times New Roman" w:cs="Times New Roman"/>
          <w:sz w:val="24"/>
        </w:rPr>
        <w:t>, paaugstinot maksu par Dabas resursu nodokļa palielinājumu</w:t>
      </w:r>
      <w:r>
        <w:rPr>
          <w:rFonts w:ascii="Times New Roman" w:hAnsi="Times New Roman" w:cs="Times New Roman"/>
          <w:sz w:val="24"/>
        </w:rPr>
        <w:t xml:space="preserve">. Tas sastāv no 3 komponentēm: atkritumu apglabāšanas tarifa, Dabas resursu nodokļa un izvešanas tarifa.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358"/>
      </w:tblGrid>
      <w:tr w:rsidR="00415897" w14:paraId="348BD578" w14:textId="77777777" w:rsidTr="00415897">
        <w:trPr>
          <w:jc w:val="center"/>
        </w:trPr>
        <w:tc>
          <w:tcPr>
            <w:tcW w:w="3969" w:type="dxa"/>
          </w:tcPr>
          <w:p w14:paraId="6E0CC3CA" w14:textId="2DD69BDD" w:rsidR="00415897" w:rsidRPr="005F0316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16">
              <w:rPr>
                <w:rFonts w:ascii="Times New Roman" w:hAnsi="Times New Roman" w:cs="Times New Roman"/>
                <w:b/>
                <w:sz w:val="24"/>
                <w:szCs w:val="24"/>
              </w:rPr>
              <w:t>Savākšanas tarifa komponentes</w:t>
            </w:r>
          </w:p>
        </w:tc>
        <w:tc>
          <w:tcPr>
            <w:tcW w:w="2358" w:type="dxa"/>
          </w:tcPr>
          <w:p w14:paraId="7AC00BA6" w14:textId="454450E5" w:rsidR="00415897" w:rsidRPr="005F0316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16">
              <w:rPr>
                <w:rFonts w:ascii="Times New Roman" w:hAnsi="Times New Roman" w:cs="Times New Roman"/>
                <w:b/>
                <w:sz w:val="24"/>
                <w:szCs w:val="24"/>
              </w:rPr>
              <w:t>2019. gads</w:t>
            </w:r>
          </w:p>
        </w:tc>
      </w:tr>
      <w:tr w:rsidR="00415897" w14:paraId="280097DC" w14:textId="77777777" w:rsidTr="00415897">
        <w:trPr>
          <w:jc w:val="center"/>
        </w:trPr>
        <w:tc>
          <w:tcPr>
            <w:tcW w:w="3969" w:type="dxa"/>
          </w:tcPr>
          <w:p w14:paraId="7389214D" w14:textId="4BB0F9F9" w:rsidR="00415897" w:rsidRPr="00857F0F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Apglabāšanas tarifs (EUR/m</w:t>
            </w:r>
            <w:r w:rsidRPr="00857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6ECF7677" w14:textId="7E1A2A01" w:rsidR="00415897" w:rsidRPr="00857F0F" w:rsidRDefault="00415897" w:rsidP="005216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415897" w14:paraId="736F940A" w14:textId="77777777" w:rsidTr="00415897">
        <w:trPr>
          <w:jc w:val="center"/>
        </w:trPr>
        <w:tc>
          <w:tcPr>
            <w:tcW w:w="3969" w:type="dxa"/>
          </w:tcPr>
          <w:p w14:paraId="39CEAAAA" w14:textId="3082261D" w:rsidR="00415897" w:rsidRPr="00857F0F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Dabas resursu nodoklis (EUR/m</w:t>
            </w:r>
            <w:r w:rsidRPr="00857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48760A22" w14:textId="0C53D1D7" w:rsidR="00415897" w:rsidRPr="00857F0F" w:rsidRDefault="00415897" w:rsidP="005216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415897" w14:paraId="2CEBC827" w14:textId="77777777" w:rsidTr="00415897">
        <w:trPr>
          <w:jc w:val="center"/>
        </w:trPr>
        <w:tc>
          <w:tcPr>
            <w:tcW w:w="3969" w:type="dxa"/>
          </w:tcPr>
          <w:p w14:paraId="1A8F2DBC" w14:textId="7665D232" w:rsidR="00415897" w:rsidRPr="00857F0F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Izvešanas tarifs (EUR/m</w:t>
            </w:r>
            <w:r w:rsidRPr="00857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01DA4092" w14:textId="23923C61" w:rsidR="00415897" w:rsidRPr="00857F0F" w:rsidRDefault="00415897" w:rsidP="005216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415897" w14:paraId="30DE4918" w14:textId="77777777" w:rsidTr="00415897">
        <w:trPr>
          <w:jc w:val="center"/>
        </w:trPr>
        <w:tc>
          <w:tcPr>
            <w:tcW w:w="3969" w:type="dxa"/>
          </w:tcPr>
          <w:p w14:paraId="6C6A52F7" w14:textId="42428F61" w:rsidR="00415897" w:rsidRPr="00857F0F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0F">
              <w:rPr>
                <w:rFonts w:ascii="Times New Roman" w:hAnsi="Times New Roman" w:cs="Times New Roman"/>
                <w:b/>
                <w:sz w:val="24"/>
                <w:szCs w:val="24"/>
              </w:rPr>
              <w:t>Savākšanas tarifs (EUR/m</w:t>
            </w:r>
            <w:r w:rsidRPr="00857F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57F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45FDB38F" w14:textId="2BB550BE" w:rsidR="00415897" w:rsidRPr="000473AC" w:rsidRDefault="00415897" w:rsidP="005216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b/>
                <w:sz w:val="24"/>
                <w:szCs w:val="24"/>
              </w:rPr>
              <w:t>10,61</w:t>
            </w:r>
          </w:p>
        </w:tc>
      </w:tr>
      <w:tr w:rsidR="00415897" w14:paraId="65E8C622" w14:textId="77777777" w:rsidTr="00415897">
        <w:trPr>
          <w:jc w:val="center"/>
        </w:trPr>
        <w:tc>
          <w:tcPr>
            <w:tcW w:w="3969" w:type="dxa"/>
          </w:tcPr>
          <w:p w14:paraId="5AA6F6E2" w14:textId="521DE14A" w:rsidR="00415897" w:rsidRPr="00857F0F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0F"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358" w:type="dxa"/>
          </w:tcPr>
          <w:p w14:paraId="525A1BC9" w14:textId="769DC2EA" w:rsidR="00415897" w:rsidRPr="00857F0F" w:rsidRDefault="00415897" w:rsidP="005216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415897" w14:paraId="6E55CE3B" w14:textId="77777777" w:rsidTr="00415897">
        <w:trPr>
          <w:jc w:val="center"/>
        </w:trPr>
        <w:tc>
          <w:tcPr>
            <w:tcW w:w="3969" w:type="dxa"/>
          </w:tcPr>
          <w:p w14:paraId="2E05F792" w14:textId="21EA1687" w:rsidR="00415897" w:rsidRPr="00857F0F" w:rsidRDefault="00415897" w:rsidP="00857F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0F">
              <w:rPr>
                <w:rFonts w:ascii="Times New Roman" w:hAnsi="Times New Roman" w:cs="Times New Roman"/>
                <w:b/>
                <w:sz w:val="24"/>
                <w:szCs w:val="24"/>
              </w:rPr>
              <w:t>Savākšanas tarifs ar PVN (EUR/m</w:t>
            </w:r>
            <w:r w:rsidRPr="00857F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57F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35F76120" w14:textId="748D5AC8" w:rsidR="00415897" w:rsidRPr="000473AC" w:rsidRDefault="00415897" w:rsidP="0052161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AC">
              <w:rPr>
                <w:rFonts w:ascii="Times New Roman" w:hAnsi="Times New Roman" w:cs="Times New Roman"/>
                <w:b/>
                <w:sz w:val="24"/>
                <w:szCs w:val="24"/>
              </w:rPr>
              <w:t>12,84</w:t>
            </w:r>
          </w:p>
        </w:tc>
      </w:tr>
    </w:tbl>
    <w:p w14:paraId="54D9CEAD" w14:textId="77777777" w:rsidR="002B6164" w:rsidRPr="00AE003A" w:rsidRDefault="002B6164" w:rsidP="0091035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2B9CC" w14:textId="7FAA5122" w:rsidR="00AB000C" w:rsidRDefault="00E7425F" w:rsidP="00ED72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Ņemot vērā Dabas resursu nodokļa likmes izmaiņas, no 2019.</w:t>
      </w:r>
      <w:r w:rsidR="0025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</w:t>
      </w:r>
      <w:r w:rsidR="000135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25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janvāra </w:t>
      </w:r>
      <w:r w:rsidR="001B052C">
        <w:rPr>
          <w:rFonts w:ascii="Times New Roman" w:hAnsi="Times New Roman" w:cs="Times New Roman"/>
          <w:sz w:val="24"/>
          <w:szCs w:val="24"/>
        </w:rPr>
        <w:t xml:space="preserve">tiks mainīta arī </w:t>
      </w:r>
      <w:r w:rsidR="00F44FFF">
        <w:rPr>
          <w:rFonts w:ascii="Times New Roman" w:hAnsi="Times New Roman" w:cs="Times New Roman"/>
          <w:sz w:val="24"/>
          <w:szCs w:val="24"/>
        </w:rPr>
        <w:t xml:space="preserve">maksa par SIA “AAS “Piejūra”” </w:t>
      </w:r>
      <w:r w:rsidR="00034398">
        <w:rPr>
          <w:rFonts w:ascii="Times New Roman" w:hAnsi="Times New Roman" w:cs="Times New Roman"/>
          <w:sz w:val="24"/>
          <w:szCs w:val="24"/>
        </w:rPr>
        <w:t xml:space="preserve">sniegtajiem </w:t>
      </w:r>
      <w:r w:rsidR="00F44FFF">
        <w:rPr>
          <w:rFonts w:ascii="Times New Roman" w:hAnsi="Times New Roman" w:cs="Times New Roman"/>
          <w:sz w:val="24"/>
          <w:szCs w:val="24"/>
        </w:rPr>
        <w:t>sadzīves atkritumu apsaimniekošan</w:t>
      </w:r>
      <w:r w:rsidR="00984C63">
        <w:rPr>
          <w:rFonts w:ascii="Times New Roman" w:hAnsi="Times New Roman" w:cs="Times New Roman"/>
          <w:sz w:val="24"/>
          <w:szCs w:val="24"/>
        </w:rPr>
        <w:t>as</w:t>
      </w:r>
      <w:r w:rsidR="00F4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pakalpojum</w:t>
      </w:r>
      <w:r w:rsidR="003F158D">
        <w:rPr>
          <w:rFonts w:ascii="Times New Roman" w:hAnsi="Times New Roman" w:cs="Times New Roman"/>
          <w:sz w:val="24"/>
          <w:szCs w:val="24"/>
        </w:rPr>
        <w:t>iem</w:t>
      </w:r>
      <w:r w:rsidR="00C413E7">
        <w:rPr>
          <w:rFonts w:ascii="Times New Roman" w:hAnsi="Times New Roman" w:cs="Times New Roman"/>
          <w:sz w:val="24"/>
          <w:szCs w:val="24"/>
        </w:rPr>
        <w:t xml:space="preserve">, atbilstoši marķētā maisa vai sadzīves atkritumu konteinera tilpumam: </w:t>
      </w:r>
    </w:p>
    <w:p w14:paraId="3D2153EA" w14:textId="77777777" w:rsidR="00ED72B5" w:rsidRPr="00ED72B5" w:rsidRDefault="00ED72B5" w:rsidP="00ED72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3137"/>
      </w:tblGrid>
      <w:tr w:rsidR="00AB000C" w14:paraId="7EE40669" w14:textId="77777777" w:rsidTr="0036445C">
        <w:trPr>
          <w:jc w:val="center"/>
        </w:trPr>
        <w:tc>
          <w:tcPr>
            <w:tcW w:w="2812" w:type="dxa"/>
          </w:tcPr>
          <w:p w14:paraId="5BDFF580" w14:textId="1AC3E08F" w:rsidR="00AB000C" w:rsidRPr="0036445C" w:rsidRDefault="00AB000C" w:rsidP="00AB00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5C">
              <w:rPr>
                <w:rFonts w:ascii="Times New Roman" w:hAnsi="Times New Roman" w:cs="Times New Roman"/>
                <w:b/>
                <w:sz w:val="24"/>
                <w:szCs w:val="24"/>
              </w:rPr>
              <w:t>Konteinera vai maisa tilpums (m</w:t>
            </w:r>
            <w:r w:rsidRPr="00364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3644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14:paraId="39DA1853" w14:textId="5C2F9831" w:rsidR="00AB000C" w:rsidRPr="0036445C" w:rsidRDefault="001262D3" w:rsidP="00AB00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5C">
              <w:rPr>
                <w:rFonts w:ascii="Times New Roman" w:hAnsi="Times New Roman" w:cs="Times New Roman"/>
                <w:b/>
                <w:sz w:val="24"/>
                <w:szCs w:val="24"/>
              </w:rPr>
              <w:t>Savākšanas tarifs ar PVN 2019. gadā</w:t>
            </w:r>
          </w:p>
        </w:tc>
      </w:tr>
      <w:tr w:rsidR="00AB000C" w14:paraId="41231165" w14:textId="77777777" w:rsidTr="0036445C">
        <w:trPr>
          <w:jc w:val="center"/>
        </w:trPr>
        <w:tc>
          <w:tcPr>
            <w:tcW w:w="2812" w:type="dxa"/>
          </w:tcPr>
          <w:p w14:paraId="0CD6D752" w14:textId="017E4A2F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3137" w:type="dxa"/>
          </w:tcPr>
          <w:p w14:paraId="290F0AEE" w14:textId="321A41A7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AB000C" w14:paraId="2714BAAF" w14:textId="77777777" w:rsidTr="0036445C">
        <w:trPr>
          <w:jc w:val="center"/>
        </w:trPr>
        <w:tc>
          <w:tcPr>
            <w:tcW w:w="2812" w:type="dxa"/>
          </w:tcPr>
          <w:p w14:paraId="795F2DB9" w14:textId="06C69C08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3137" w:type="dxa"/>
          </w:tcPr>
          <w:p w14:paraId="536A10D6" w14:textId="199645A1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B000C" w14:paraId="3C5C8B14" w14:textId="77777777" w:rsidTr="0036445C">
        <w:trPr>
          <w:jc w:val="center"/>
        </w:trPr>
        <w:tc>
          <w:tcPr>
            <w:tcW w:w="2812" w:type="dxa"/>
          </w:tcPr>
          <w:p w14:paraId="614A965A" w14:textId="6FC4259C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3137" w:type="dxa"/>
          </w:tcPr>
          <w:p w14:paraId="0576DF2E" w14:textId="1ADCB2F1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AB000C" w14:paraId="40B267F1" w14:textId="77777777" w:rsidTr="0036445C">
        <w:trPr>
          <w:jc w:val="center"/>
        </w:trPr>
        <w:tc>
          <w:tcPr>
            <w:tcW w:w="2812" w:type="dxa"/>
          </w:tcPr>
          <w:p w14:paraId="45504DEA" w14:textId="249C3B7B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3137" w:type="dxa"/>
          </w:tcPr>
          <w:p w14:paraId="34C9E712" w14:textId="16937243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AB000C" w14:paraId="5077CEB9" w14:textId="77777777" w:rsidTr="0036445C">
        <w:trPr>
          <w:jc w:val="center"/>
        </w:trPr>
        <w:tc>
          <w:tcPr>
            <w:tcW w:w="2812" w:type="dxa"/>
          </w:tcPr>
          <w:p w14:paraId="174A708E" w14:textId="243755E3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3137" w:type="dxa"/>
          </w:tcPr>
          <w:p w14:paraId="1DCCAF8F" w14:textId="14190C40" w:rsidR="00AB000C" w:rsidRPr="001262D3" w:rsidRDefault="0036445C" w:rsidP="0036445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</w:tbl>
    <w:p w14:paraId="3D9178D3" w14:textId="14F697FD" w:rsidR="00AB000C" w:rsidRDefault="00AB000C" w:rsidP="0036445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9EEB8" w14:textId="341DA461" w:rsidR="000C7D99" w:rsidRPr="00D13320" w:rsidRDefault="00B84572" w:rsidP="00ED0F0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arifa </w:t>
      </w:r>
      <w:r>
        <w:rPr>
          <w:rFonts w:ascii="Times New Roman" w:hAnsi="Times New Roman" w:cs="Times New Roman"/>
          <w:b/>
          <w:sz w:val="24"/>
          <w:szCs w:val="24"/>
        </w:rPr>
        <w:t>palielināšanās</w:t>
      </w:r>
      <w:r>
        <w:rPr>
          <w:rFonts w:ascii="Times New Roman" w:hAnsi="Times New Roman" w:cs="Times New Roman"/>
          <w:b/>
          <w:sz w:val="24"/>
          <w:szCs w:val="24"/>
        </w:rPr>
        <w:t xml:space="preserve"> neietekmē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0645F">
        <w:rPr>
          <w:rFonts w:ascii="Times New Roman" w:hAnsi="Times New Roman" w:cs="Times New Roman"/>
          <w:b/>
          <w:sz w:val="24"/>
          <w:szCs w:val="24"/>
        </w:rPr>
        <w:t>epriekš noslēgto līgumu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5F">
        <w:rPr>
          <w:rFonts w:ascii="Times New Roman" w:hAnsi="Times New Roman" w:cs="Times New Roman"/>
          <w:b/>
          <w:sz w:val="24"/>
          <w:szCs w:val="24"/>
        </w:rPr>
        <w:t>darbību.</w:t>
      </w:r>
      <w:bookmarkEnd w:id="0"/>
    </w:p>
    <w:sectPr w:rsidR="000C7D99" w:rsidRPr="00D133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4F1B" w14:textId="77777777" w:rsidR="005F5E96" w:rsidRDefault="005F5E96" w:rsidP="001934C1">
      <w:pPr>
        <w:spacing w:after="0" w:line="240" w:lineRule="auto"/>
      </w:pPr>
      <w:r>
        <w:separator/>
      </w:r>
    </w:p>
  </w:endnote>
  <w:endnote w:type="continuationSeparator" w:id="0">
    <w:p w14:paraId="3D08F444" w14:textId="77777777" w:rsidR="005F5E96" w:rsidRDefault="005F5E96" w:rsidP="0019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EF80" w14:textId="77777777" w:rsidR="005F5E96" w:rsidRDefault="005F5E96" w:rsidP="001934C1">
      <w:pPr>
        <w:spacing w:after="0" w:line="240" w:lineRule="auto"/>
      </w:pPr>
      <w:r>
        <w:separator/>
      </w:r>
    </w:p>
  </w:footnote>
  <w:footnote w:type="continuationSeparator" w:id="0">
    <w:p w14:paraId="6FFB3582" w14:textId="77777777" w:rsidR="005F5E96" w:rsidRDefault="005F5E96" w:rsidP="0019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DB53" w14:textId="77777777" w:rsidR="00BB75D2" w:rsidRDefault="00BB75D2" w:rsidP="001934C1">
    <w:pPr>
      <w:pStyle w:val="Header"/>
      <w:jc w:val="center"/>
      <w:rPr>
        <w:rFonts w:ascii="Times New Roman" w:hAnsi="Times New Roman" w:cs="Times New Roman"/>
        <w:b/>
        <w:sz w:val="24"/>
      </w:rPr>
    </w:pPr>
  </w:p>
  <w:p w14:paraId="3D2120D1" w14:textId="77777777" w:rsidR="00BB75D2" w:rsidRDefault="00BB75D2" w:rsidP="001934C1">
    <w:pPr>
      <w:pStyle w:val="Header"/>
      <w:jc w:val="center"/>
      <w:rPr>
        <w:rFonts w:ascii="Times New Roman" w:hAnsi="Times New Roman" w:cs="Times New Roman"/>
        <w:b/>
        <w:sz w:val="24"/>
      </w:rPr>
    </w:pPr>
  </w:p>
  <w:p w14:paraId="77B43C1C" w14:textId="5D23AFEE" w:rsidR="001934C1" w:rsidRDefault="001934C1" w:rsidP="001934C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9DC7C8B" wp14:editId="6AA2A37B">
          <wp:simplePos x="0" y="0"/>
          <wp:positionH relativeFrom="column">
            <wp:posOffset>2198370</wp:posOffset>
          </wp:positionH>
          <wp:positionV relativeFrom="paragraph">
            <wp:posOffset>-322447</wp:posOffset>
          </wp:positionV>
          <wp:extent cx="1208405" cy="765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3003F" w14:textId="77777777" w:rsidR="001934C1" w:rsidRDefault="001934C1" w:rsidP="001934C1">
    <w:pPr>
      <w:pStyle w:val="Header"/>
      <w:jc w:val="center"/>
      <w:rPr>
        <w:rFonts w:ascii="Times New Roman" w:hAnsi="Times New Roman" w:cs="Times New Roman"/>
        <w:b/>
        <w:sz w:val="24"/>
      </w:rPr>
    </w:pPr>
  </w:p>
  <w:p w14:paraId="4EDD5750" w14:textId="77777777" w:rsidR="001934C1" w:rsidRDefault="001934C1" w:rsidP="001934C1">
    <w:pPr>
      <w:pStyle w:val="Header"/>
      <w:jc w:val="center"/>
      <w:rPr>
        <w:rFonts w:ascii="Times New Roman" w:hAnsi="Times New Roman" w:cs="Times New Roman"/>
        <w:b/>
        <w:sz w:val="24"/>
      </w:rPr>
    </w:pPr>
  </w:p>
  <w:p w14:paraId="1C6B7D85" w14:textId="77777777" w:rsidR="001934C1" w:rsidRDefault="001934C1" w:rsidP="001934C1">
    <w:pPr>
      <w:pStyle w:val="Header"/>
      <w:jc w:val="center"/>
      <w:rPr>
        <w:rFonts w:ascii="Times New Roman" w:hAnsi="Times New Roman" w:cs="Times New Roman"/>
        <w:b/>
        <w:sz w:val="24"/>
      </w:rPr>
    </w:pPr>
    <w:r w:rsidRPr="00E26ABC">
      <w:rPr>
        <w:rFonts w:ascii="Times New Roman" w:hAnsi="Times New Roman" w:cs="Times New Roman"/>
        <w:b/>
        <w:sz w:val="24"/>
      </w:rPr>
      <w:t>SIA “ATKRITUMU APSAIMNIEKOŠANAS SABIEDRĪBA “PIEJŪRA””</w:t>
    </w:r>
  </w:p>
  <w:p w14:paraId="62BB088B" w14:textId="77777777" w:rsidR="001934C1" w:rsidRDefault="001934C1" w:rsidP="001934C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_____________________________________________________________________</w:t>
    </w:r>
  </w:p>
  <w:p w14:paraId="6BB2B01C" w14:textId="6712C9FC" w:rsidR="001934C1" w:rsidRPr="001934C1" w:rsidRDefault="001934C1" w:rsidP="001934C1">
    <w:pPr>
      <w:pStyle w:val="Header"/>
      <w:jc w:val="center"/>
      <w:rPr>
        <w:rFonts w:ascii="Times New Roman" w:hAnsi="Times New Roman" w:cs="Times New Roman"/>
        <w:b/>
      </w:rPr>
    </w:pPr>
    <w:r w:rsidRPr="00E26ABC">
      <w:rPr>
        <w:rFonts w:ascii="Times New Roman" w:hAnsi="Times New Roman" w:cs="Times New Roman"/>
        <w:b/>
      </w:rPr>
      <w:t>Rīgas iela 1, Tukums, LV-3101, tālr./fakss 63123306</w:t>
    </w:r>
  </w:p>
  <w:p w14:paraId="2BBF41F4" w14:textId="77777777" w:rsidR="001934C1" w:rsidRDefault="00193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BF0"/>
    <w:multiLevelType w:val="hybridMultilevel"/>
    <w:tmpl w:val="D4AE9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1"/>
    <w:rsid w:val="00013547"/>
    <w:rsid w:val="00034398"/>
    <w:rsid w:val="000473AC"/>
    <w:rsid w:val="000876B7"/>
    <w:rsid w:val="000C7D99"/>
    <w:rsid w:val="001262D3"/>
    <w:rsid w:val="00176841"/>
    <w:rsid w:val="001934C1"/>
    <w:rsid w:val="001B052C"/>
    <w:rsid w:val="00253A62"/>
    <w:rsid w:val="0029508A"/>
    <w:rsid w:val="002B6164"/>
    <w:rsid w:val="0036445C"/>
    <w:rsid w:val="003662D6"/>
    <w:rsid w:val="00391E27"/>
    <w:rsid w:val="003F158D"/>
    <w:rsid w:val="00415897"/>
    <w:rsid w:val="0052161C"/>
    <w:rsid w:val="005F0316"/>
    <w:rsid w:val="005F5E96"/>
    <w:rsid w:val="00601395"/>
    <w:rsid w:val="00616201"/>
    <w:rsid w:val="00757940"/>
    <w:rsid w:val="00786CED"/>
    <w:rsid w:val="007A188B"/>
    <w:rsid w:val="007C5B02"/>
    <w:rsid w:val="00810040"/>
    <w:rsid w:val="00857F0F"/>
    <w:rsid w:val="008619D5"/>
    <w:rsid w:val="0091035C"/>
    <w:rsid w:val="00924F65"/>
    <w:rsid w:val="00984C63"/>
    <w:rsid w:val="00A25D7F"/>
    <w:rsid w:val="00A41618"/>
    <w:rsid w:val="00AB000C"/>
    <w:rsid w:val="00AE003A"/>
    <w:rsid w:val="00AE0F46"/>
    <w:rsid w:val="00B0645F"/>
    <w:rsid w:val="00B84572"/>
    <w:rsid w:val="00BB75D2"/>
    <w:rsid w:val="00C413E7"/>
    <w:rsid w:val="00C559BB"/>
    <w:rsid w:val="00CA01E9"/>
    <w:rsid w:val="00D13320"/>
    <w:rsid w:val="00D140E2"/>
    <w:rsid w:val="00D57FB3"/>
    <w:rsid w:val="00E7425F"/>
    <w:rsid w:val="00ED0F04"/>
    <w:rsid w:val="00ED72B5"/>
    <w:rsid w:val="00F1394D"/>
    <w:rsid w:val="00F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305"/>
  <w15:chartTrackingRefBased/>
  <w15:docId w15:val="{464C78D9-AEC5-4E31-95AC-0A214781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C1"/>
  </w:style>
  <w:style w:type="paragraph" w:styleId="Footer">
    <w:name w:val="footer"/>
    <w:basedOn w:val="Normal"/>
    <w:link w:val="FooterChar"/>
    <w:uiPriority w:val="99"/>
    <w:unhideWhenUsed/>
    <w:rsid w:val="0019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C1"/>
  </w:style>
  <w:style w:type="paragraph" w:styleId="ListParagraph">
    <w:name w:val="List Paragraph"/>
    <w:basedOn w:val="Normal"/>
    <w:uiPriority w:val="34"/>
    <w:qFormat/>
    <w:rsid w:val="00BB75D2"/>
    <w:pPr>
      <w:ind w:left="720"/>
      <w:contextualSpacing/>
    </w:pPr>
  </w:style>
  <w:style w:type="table" w:styleId="TableGrid">
    <w:name w:val="Table Grid"/>
    <w:basedOn w:val="TableNormal"/>
    <w:uiPriority w:val="39"/>
    <w:rsid w:val="00AB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2018-11-22T13:58:00Z</cp:lastPrinted>
  <dcterms:created xsi:type="dcterms:W3CDTF">2018-12-13T15:00:00Z</dcterms:created>
  <dcterms:modified xsi:type="dcterms:W3CDTF">2018-12-14T07:20:00Z</dcterms:modified>
</cp:coreProperties>
</file>